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8BF7F" w14:textId="77777777" w:rsidR="00BA28E1" w:rsidRDefault="00000000">
      <w:pPr>
        <w:spacing w:after="60" w:line="310" w:lineRule="auto"/>
        <w:jc w:val="center"/>
      </w:pPr>
      <w:r>
        <w:rPr>
          <w:rFonts w:ascii="游ゴシック" w:eastAsia="游ゴシック" w:hAnsi="游ゴシック" w:cs="游ゴシック"/>
          <w:b/>
          <w:bCs/>
          <w:sz w:val="32"/>
          <w:szCs w:val="32"/>
        </w:rPr>
        <w:t>ジェンダー平等計画(Gender Equality Plan)</w:t>
      </w:r>
    </w:p>
    <w:p w14:paraId="56D752D6" w14:textId="77777777" w:rsidR="00BA28E1" w:rsidRDefault="00000000">
      <w:pPr>
        <w:spacing w:after="60" w:line="310" w:lineRule="auto"/>
        <w:jc w:val="center"/>
      </w:pPr>
      <w:r>
        <w:rPr>
          <w:rFonts w:ascii="游ゴシック" w:eastAsia="游ゴシック" w:hAnsi="游ゴシック" w:cs="游ゴシック"/>
          <w:b/>
          <w:bCs/>
          <w:sz w:val="24"/>
          <w:szCs w:val="24"/>
        </w:rPr>
        <w:t>2026年〜2029年</w:t>
      </w:r>
    </w:p>
    <w:p w14:paraId="1D91C492" w14:textId="77777777" w:rsidR="00BA28E1" w:rsidRDefault="00000000">
      <w:pPr>
        <w:spacing w:after="40" w:line="310" w:lineRule="auto"/>
        <w:jc w:val="center"/>
      </w:pPr>
      <w:r>
        <w:rPr>
          <w:rFonts w:ascii="游ゴシック" w:eastAsia="游ゴシック" w:hAnsi="游ゴシック" w:cs="游ゴシック"/>
          <w:sz w:val="23"/>
          <w:szCs w:val="23"/>
        </w:rPr>
        <w:t>特定非営利活動法人 支援技術開発機構(ATDO)</w:t>
      </w:r>
    </w:p>
    <w:p w14:paraId="7C2ECCEF" w14:textId="77777777" w:rsidR="00BA28E1" w:rsidRDefault="00000000">
      <w:pPr>
        <w:spacing w:after="140" w:line="310" w:lineRule="auto"/>
        <w:jc w:val="center"/>
      </w:pPr>
      <w:r>
        <w:rPr>
          <w:sz w:val="19"/>
          <w:szCs w:val="19"/>
        </w:rPr>
        <w:t>【理事会決議日を記入】制定・公表　(本計画は日本語版・英語版を当機構ウェブサイトで公表する)</w:t>
      </w:r>
    </w:p>
    <w:p w14:paraId="2A78D9FF" w14:textId="77777777" w:rsidR="00BA28E1" w:rsidRDefault="00000000">
      <w:pPr>
        <w:pStyle w:val="1"/>
        <w:spacing w:before="240" w:after="110"/>
      </w:pPr>
      <w:r>
        <w:rPr>
          <w:rFonts w:ascii="游ゴシック" w:eastAsia="游ゴシック" w:hAnsi="游ゴシック" w:cs="游ゴシック"/>
          <w:b/>
          <w:bCs/>
          <w:color w:val="000000"/>
          <w:sz w:val="24"/>
          <w:szCs w:val="24"/>
        </w:rPr>
        <w:t>1　基本方針</w:t>
      </w:r>
    </w:p>
    <w:p w14:paraId="794FD823" w14:textId="7D1748CC" w:rsidR="00BA28E1" w:rsidRDefault="00000000">
      <w:pPr>
        <w:spacing w:after="90" w:line="310" w:lineRule="auto"/>
        <w:jc w:val="both"/>
      </w:pPr>
      <w:r>
        <w:t>特定非営利活動法人支援技術開発機構(以下「当機構」)は、</w:t>
      </w:r>
      <w:r w:rsidR="00812E27" w:rsidRPr="003A6470">
        <w:t>すべての人に普遍的な人権を</w:t>
      </w:r>
      <w:r w:rsidR="00812E27">
        <w:rPr>
          <w:rFonts w:hint="eastAsia"/>
        </w:rPr>
        <w:t>保障</w:t>
      </w:r>
      <w:r w:rsidR="00812E27" w:rsidRPr="003A6470">
        <w:t>する</w:t>
      </w:r>
      <w:r w:rsidR="00812E27">
        <w:rPr>
          <w:rFonts w:hint="eastAsia"/>
        </w:rPr>
        <w:t>ために</w:t>
      </w:r>
      <w:r w:rsidR="003A6470" w:rsidRPr="003A6470">
        <w:t>社会の側をリフォームする</w:t>
      </w:r>
      <w:r w:rsidR="003A6470">
        <w:rPr>
          <w:rFonts w:hint="eastAsia"/>
        </w:rPr>
        <w:t>という目的に沿って、</w:t>
      </w:r>
      <w:r w:rsidR="003A6470" w:rsidRPr="003A6470">
        <w:t>情報のアクセスとコミュニケーションに</w:t>
      </w:r>
      <w:r w:rsidR="003A6470">
        <w:rPr>
          <w:rFonts w:hint="eastAsia"/>
        </w:rPr>
        <w:t>おける</w:t>
      </w:r>
      <w:r w:rsidR="003A6470" w:rsidRPr="003A6470">
        <w:t>ユニバーサルデザイン</w:t>
      </w:r>
      <w:r w:rsidR="00812E27">
        <w:rPr>
          <w:rFonts w:hint="eastAsia"/>
        </w:rPr>
        <w:t>の</w:t>
      </w:r>
      <w:r>
        <w:t>研究開発</w:t>
      </w:r>
      <w:r w:rsidR="00812E27">
        <w:rPr>
          <w:rFonts w:hint="eastAsia"/>
        </w:rPr>
        <w:t>を促進し、その成果を普及するための</w:t>
      </w:r>
      <w:r>
        <w:t>国際協力を使命とする組織として、ジェンダー平等を組織運営と活動の基本原則とする。当機構は、性別にかかわらず全ての役職員が能力を発揮できる組織文化を維持・発展させるとともに、研究活動そのものにジェンダーの視点を統合する。本計画は、次世代育成支援対策推進法に基づく当機構の一般事業主行動計画(2026年8月1日〜2029年7月31日、厚生労働省「両立支援のひろば」で公表)と一体のものとして運用し、Horizon Europeのジェンダー平等計画(GEP)適格要件の4つの必須要素(①公式文書としての公表、②専任リソース、③データ収集とモニタリング、④研修)を満たすものとして制定する。</w:t>
      </w:r>
    </w:p>
    <w:p w14:paraId="0723A204" w14:textId="77777777" w:rsidR="00BA28E1" w:rsidRDefault="00000000">
      <w:pPr>
        <w:pStyle w:val="1"/>
        <w:spacing w:before="240" w:after="110"/>
      </w:pPr>
      <w:r>
        <w:rPr>
          <w:rFonts w:ascii="游ゴシック" w:eastAsia="游ゴシック" w:hAnsi="游ゴシック" w:cs="游ゴシック"/>
          <w:b/>
          <w:bCs/>
          <w:color w:val="000000"/>
          <w:sz w:val="24"/>
          <w:szCs w:val="24"/>
        </w:rPr>
        <w:t>2　体制と資源(必須要素②)</w:t>
      </w:r>
    </w:p>
    <w:p w14:paraId="7D0B2B1F" w14:textId="77777777" w:rsidR="00BA28E1" w:rsidRDefault="00000000">
      <w:pPr>
        <w:pStyle w:val="a4"/>
        <w:numPr>
          <w:ilvl w:val="0"/>
          <w:numId w:val="2"/>
        </w:numPr>
        <w:spacing w:after="60" w:line="300" w:lineRule="auto"/>
      </w:pPr>
      <w:r>
        <w:t>本計画の最高責任者は理事長とし、理事長が本計画に署名して公表する</w:t>
      </w:r>
    </w:p>
    <w:p w14:paraId="308242E4" w14:textId="77777777" w:rsidR="00BA28E1" w:rsidRDefault="00000000">
      <w:pPr>
        <w:pStyle w:val="a4"/>
        <w:numPr>
          <w:ilvl w:val="0"/>
          <w:numId w:val="2"/>
        </w:numPr>
        <w:spacing w:after="60" w:line="300" w:lineRule="auto"/>
      </w:pPr>
      <w:r>
        <w:t>本計画の推進責任者は事務局長(理事・専従)とし、日常の実施を統括する</w:t>
      </w:r>
    </w:p>
    <w:p w14:paraId="104CFDC5" w14:textId="77777777" w:rsidR="00BA28E1" w:rsidRDefault="00000000">
      <w:pPr>
        <w:pStyle w:val="a4"/>
        <w:numPr>
          <w:ilvl w:val="0"/>
          <w:numId w:val="2"/>
        </w:numPr>
        <w:spacing w:after="60" w:line="300" w:lineRule="auto"/>
      </w:pPr>
      <w:r>
        <w:t>ジェンダー平等推進担当者として総務主任を指名し、データ収集、年次報告の作成、研修の企画・記録を担当する(業務時間の一部を本計画の実施に充てることを組織として保障する)</w:t>
      </w:r>
    </w:p>
    <w:p w14:paraId="74B03958" w14:textId="77777777" w:rsidR="00BA28E1" w:rsidRDefault="00000000">
      <w:pPr>
        <w:pStyle w:val="a4"/>
        <w:numPr>
          <w:ilvl w:val="0"/>
          <w:numId w:val="2"/>
        </w:numPr>
        <w:spacing w:after="60" w:line="300" w:lineRule="auto"/>
      </w:pPr>
      <w:r>
        <w:t>必要に応じ、ジェンダー平等に関する外部の専門知識(研究者・専門機関)を活用する</w:t>
      </w:r>
    </w:p>
    <w:p w14:paraId="2794C973" w14:textId="77777777" w:rsidR="00BA28E1" w:rsidRDefault="00000000">
      <w:pPr>
        <w:pStyle w:val="a4"/>
        <w:numPr>
          <w:ilvl w:val="0"/>
          <w:numId w:val="2"/>
        </w:numPr>
        <w:spacing w:after="60" w:line="300" w:lineRule="auto"/>
      </w:pPr>
      <w:r>
        <w:t>実施状況は年1回、理事会に報告し、理事会が本計画の見直しを審議する</w:t>
      </w:r>
    </w:p>
    <w:p w14:paraId="12010A96" w14:textId="77777777" w:rsidR="00BA28E1" w:rsidRDefault="00000000">
      <w:pPr>
        <w:pStyle w:val="1"/>
        <w:spacing w:before="240" w:after="110"/>
      </w:pPr>
      <w:r>
        <w:rPr>
          <w:rFonts w:ascii="游ゴシック" w:eastAsia="游ゴシック" w:hAnsi="游ゴシック" w:cs="游ゴシック"/>
          <w:b/>
          <w:bCs/>
          <w:color w:val="000000"/>
          <w:sz w:val="24"/>
          <w:szCs w:val="24"/>
        </w:rPr>
        <w:t>3　データ収集とモニタリング(必須要素③)</w:t>
      </w:r>
    </w:p>
    <w:p w14:paraId="4CFFCCBF" w14:textId="77777777" w:rsidR="00BA28E1" w:rsidRDefault="00000000">
      <w:pPr>
        <w:spacing w:after="90" w:line="310" w:lineRule="auto"/>
        <w:jc w:val="both"/>
      </w:pPr>
      <w:r>
        <w:t>毎年4月に、前年度分の性別区分データを収集し、次の指標に基づく年次報告を作成して理事会に報告するとともに、個人が特定されない形で概要をウェブサイトで公表する。</w:t>
      </w:r>
    </w:p>
    <w:p w14:paraId="0C5E9455" w14:textId="77777777" w:rsidR="00BA28E1" w:rsidRDefault="00000000">
      <w:pPr>
        <w:pStyle w:val="a4"/>
        <w:numPr>
          <w:ilvl w:val="0"/>
          <w:numId w:val="2"/>
        </w:numPr>
        <w:spacing w:after="60" w:line="300" w:lineRule="auto"/>
      </w:pPr>
      <w:r>
        <w:t>役職員の性別構成(職員・役員・管理的立場の別)　※2026年9月現在: 職員10名(女性7名・男性3名)、理事8名(女性4名・男性4名)、専従の事務局長(理事兼務)は女性</w:t>
      </w:r>
    </w:p>
    <w:p w14:paraId="236D254C" w14:textId="77777777" w:rsidR="00BA28E1" w:rsidRDefault="00000000">
      <w:pPr>
        <w:pStyle w:val="a4"/>
        <w:numPr>
          <w:ilvl w:val="0"/>
          <w:numId w:val="2"/>
        </w:numPr>
        <w:spacing w:after="60" w:line="300" w:lineRule="auto"/>
      </w:pPr>
      <w:r>
        <w:t>採用における応募者・採用者の性別構成</w:t>
      </w:r>
    </w:p>
    <w:p w14:paraId="2D3C92BA" w14:textId="77777777" w:rsidR="00BA28E1" w:rsidRDefault="00000000">
      <w:pPr>
        <w:pStyle w:val="a4"/>
        <w:numPr>
          <w:ilvl w:val="0"/>
          <w:numId w:val="2"/>
        </w:numPr>
        <w:spacing w:after="60" w:line="300" w:lineRule="auto"/>
      </w:pPr>
      <w:r>
        <w:lastRenderedPageBreak/>
        <w:t>研修の受講状況(性別)</w:t>
      </w:r>
    </w:p>
    <w:p w14:paraId="07D5B34E" w14:textId="77777777" w:rsidR="00BA28E1" w:rsidRDefault="00000000">
      <w:pPr>
        <w:pStyle w:val="a4"/>
        <w:numPr>
          <w:ilvl w:val="0"/>
          <w:numId w:val="2"/>
        </w:numPr>
        <w:spacing w:after="60" w:line="300" w:lineRule="auto"/>
      </w:pPr>
      <w:r>
        <w:t>当機構が設置・運営する委員会・プロジェクトチームにおける性別構成</w:t>
      </w:r>
    </w:p>
    <w:p w14:paraId="2C4C609F" w14:textId="77777777" w:rsidR="00BA28E1" w:rsidRDefault="00000000">
      <w:pPr>
        <w:pStyle w:val="a4"/>
        <w:numPr>
          <w:ilvl w:val="0"/>
          <w:numId w:val="2"/>
        </w:numPr>
        <w:spacing w:after="60" w:line="300" w:lineRule="auto"/>
      </w:pPr>
      <w:r>
        <w:t>育児・介護に係る制度(フレックスタイム、リモートワーク、育児休業等)の利用状況</w:t>
      </w:r>
    </w:p>
    <w:p w14:paraId="092390D4" w14:textId="77777777" w:rsidR="00BA28E1" w:rsidRDefault="00000000">
      <w:pPr>
        <w:pStyle w:val="1"/>
        <w:spacing w:before="240" w:after="110"/>
      </w:pPr>
      <w:r>
        <w:rPr>
          <w:rFonts w:ascii="游ゴシック" w:eastAsia="游ゴシック" w:hAnsi="游ゴシック" w:cs="游ゴシック"/>
          <w:b/>
          <w:bCs/>
          <w:color w:val="000000"/>
          <w:sz w:val="24"/>
          <w:szCs w:val="24"/>
        </w:rPr>
        <w:t>4　研修と意識向上(必須要素④)</w:t>
      </w:r>
    </w:p>
    <w:p w14:paraId="3477B90F" w14:textId="77777777" w:rsidR="00BA28E1" w:rsidRDefault="00000000">
      <w:pPr>
        <w:pStyle w:val="a4"/>
        <w:numPr>
          <w:ilvl w:val="0"/>
          <w:numId w:val="2"/>
        </w:numPr>
        <w:spacing w:after="60" w:line="300" w:lineRule="auto"/>
      </w:pPr>
      <w:r>
        <w:t>全役職員(理事を含む)を対象に、ジェンダー平等及び無意識の偏見(アンコンシャス・バイアス)に関する研修を年1回実施し、受講記録を保存する</w:t>
      </w:r>
    </w:p>
    <w:p w14:paraId="70033615" w14:textId="77777777" w:rsidR="00BA28E1" w:rsidRDefault="00000000">
      <w:pPr>
        <w:pStyle w:val="a4"/>
        <w:numPr>
          <w:ilvl w:val="0"/>
          <w:numId w:val="2"/>
        </w:numPr>
        <w:spacing w:after="60" w:line="300" w:lineRule="auto"/>
      </w:pPr>
      <w:r>
        <w:t>新たに採用する職員には、着任時のオリエンテーションで本計画と関連制度を説明する</w:t>
      </w:r>
    </w:p>
    <w:p w14:paraId="463EC854" w14:textId="77777777" w:rsidR="00BA28E1" w:rsidRDefault="00000000">
      <w:pPr>
        <w:pStyle w:val="a4"/>
        <w:numPr>
          <w:ilvl w:val="0"/>
          <w:numId w:val="2"/>
        </w:numPr>
        <w:spacing w:after="60" w:line="300" w:lineRule="auto"/>
      </w:pPr>
      <w:r>
        <w:t>意思決定に関与する者(理事・管理的立場の職員)には、採用・評価・委員会構成における偏見の防止を重点とした内容を含める</w:t>
      </w:r>
    </w:p>
    <w:p w14:paraId="71980C5D" w14:textId="77777777" w:rsidR="00BA28E1" w:rsidRDefault="00000000">
      <w:pPr>
        <w:pStyle w:val="1"/>
        <w:spacing w:before="240" w:after="110"/>
      </w:pPr>
      <w:r>
        <w:rPr>
          <w:rFonts w:ascii="游ゴシック" w:eastAsia="游ゴシック" w:hAnsi="游ゴシック" w:cs="游ゴシック"/>
          <w:b/>
          <w:bCs/>
          <w:color w:val="000000"/>
          <w:sz w:val="24"/>
          <w:szCs w:val="24"/>
        </w:rPr>
        <w:t>5　重点領域と取組</w:t>
      </w:r>
    </w:p>
    <w:p w14:paraId="711F416B" w14:textId="77777777" w:rsidR="00BA28E1" w:rsidRDefault="00000000">
      <w:pPr>
        <w:pStyle w:val="2"/>
        <w:spacing w:before="180" w:after="80"/>
      </w:pPr>
      <w:r>
        <w:rPr>
          <w:rFonts w:ascii="游ゴシック" w:eastAsia="游ゴシック" w:hAnsi="游ゴシック" w:cs="游ゴシック"/>
          <w:b/>
          <w:bCs/>
          <w:color w:val="000000"/>
          <w:sz w:val="22"/>
          <w:szCs w:val="22"/>
        </w:rPr>
        <w:t>(1)　ワーク・ライフ・バランスと組織文化</w:t>
      </w:r>
    </w:p>
    <w:p w14:paraId="571DACF7" w14:textId="77777777" w:rsidR="00BA28E1" w:rsidRDefault="00000000">
      <w:pPr>
        <w:pStyle w:val="a4"/>
        <w:numPr>
          <w:ilvl w:val="0"/>
          <w:numId w:val="2"/>
        </w:numPr>
        <w:spacing w:after="60" w:line="300" w:lineRule="auto"/>
      </w:pPr>
      <w:r>
        <w:t>フレックスタイム制(2019年導入)及びリモートワーク制度を維持し、利用を促進する</w:t>
      </w:r>
    </w:p>
    <w:p w14:paraId="28816CC1" w14:textId="77777777" w:rsidR="00BA28E1" w:rsidRDefault="00000000">
      <w:pPr>
        <w:pStyle w:val="a4"/>
        <w:numPr>
          <w:ilvl w:val="0"/>
          <w:numId w:val="2"/>
        </w:numPr>
        <w:spacing w:after="60" w:line="300" w:lineRule="auto"/>
      </w:pPr>
      <w:r>
        <w:t>子が3歳に達するまでの育児休業等、次世代法行動計画に定める措置を確実に実施する</w:t>
      </w:r>
    </w:p>
    <w:p w14:paraId="0835E69B" w14:textId="77777777" w:rsidR="00BA28E1" w:rsidRDefault="00000000">
      <w:pPr>
        <w:pStyle w:val="2"/>
        <w:spacing w:before="180" w:after="80"/>
      </w:pPr>
      <w:r>
        <w:rPr>
          <w:rFonts w:ascii="游ゴシック" w:eastAsia="游ゴシック" w:hAnsi="游ゴシック" w:cs="游ゴシック"/>
          <w:b/>
          <w:bCs/>
          <w:color w:val="000000"/>
          <w:sz w:val="22"/>
          <w:szCs w:val="22"/>
        </w:rPr>
        <w:t>(2)　意思決定への均衡ある参画</w:t>
      </w:r>
    </w:p>
    <w:p w14:paraId="16DC8E85" w14:textId="77777777" w:rsidR="00BA28E1" w:rsidRDefault="00000000">
      <w:pPr>
        <w:pStyle w:val="a4"/>
        <w:numPr>
          <w:ilvl w:val="0"/>
          <w:numId w:val="2"/>
        </w:numPr>
        <w:spacing w:after="60" w:line="300" w:lineRule="auto"/>
      </w:pPr>
      <w:r>
        <w:t>理事会・運営会議・プロジェクトリーダーシップの性別構成を把握し、均衡ある参画を維持・向上させる(2026年9月現在、理事会は女性4名・男性4名の均衡構成であり、専従の事務局長は女性である。本計画はこの均衡の維持を基本とする)</w:t>
      </w:r>
    </w:p>
    <w:p w14:paraId="26543F5D" w14:textId="77777777" w:rsidR="00BA28E1" w:rsidRDefault="00000000">
      <w:pPr>
        <w:pStyle w:val="2"/>
        <w:spacing w:before="180" w:after="80"/>
      </w:pPr>
      <w:r>
        <w:rPr>
          <w:rFonts w:ascii="游ゴシック" w:eastAsia="游ゴシック" w:hAnsi="游ゴシック" w:cs="游ゴシック"/>
          <w:b/>
          <w:bCs/>
          <w:color w:val="000000"/>
          <w:sz w:val="22"/>
          <w:szCs w:val="22"/>
        </w:rPr>
        <w:t>(3)　採用とキャリア形成</w:t>
      </w:r>
    </w:p>
    <w:p w14:paraId="090F8B5C" w14:textId="77777777" w:rsidR="00BA28E1" w:rsidRDefault="00000000">
      <w:pPr>
        <w:pStyle w:val="a4"/>
        <w:numPr>
          <w:ilvl w:val="0"/>
          <w:numId w:val="2"/>
        </w:numPr>
        <w:spacing w:after="60" w:line="300" w:lineRule="auto"/>
      </w:pPr>
      <w:r>
        <w:t>募集・選考においてジェンダー中立の表現と基準を用い、選考過程における偏見を防止する</w:t>
      </w:r>
    </w:p>
    <w:p w14:paraId="34620138" w14:textId="77777777" w:rsidR="00BA28E1" w:rsidRDefault="00000000">
      <w:pPr>
        <w:pStyle w:val="a4"/>
        <w:numPr>
          <w:ilvl w:val="0"/>
          <w:numId w:val="2"/>
        </w:numPr>
        <w:spacing w:after="60" w:line="300" w:lineRule="auto"/>
      </w:pPr>
      <w:r>
        <w:t>研修・国際会議参加・研究発表等のキャリア形成機会を性別にかかわらず均等に提供する</w:t>
      </w:r>
    </w:p>
    <w:p w14:paraId="2ED58F0C" w14:textId="77777777" w:rsidR="00BA28E1" w:rsidRDefault="00000000">
      <w:pPr>
        <w:pStyle w:val="2"/>
        <w:spacing w:before="180" w:after="80"/>
      </w:pPr>
      <w:r>
        <w:rPr>
          <w:rFonts w:ascii="游ゴシック" w:eastAsia="游ゴシック" w:hAnsi="游ゴシック" w:cs="游ゴシック"/>
          <w:b/>
          <w:bCs/>
          <w:color w:val="000000"/>
          <w:sz w:val="22"/>
          <w:szCs w:val="22"/>
        </w:rPr>
        <w:t>(4)　研究内容へのジェンダー視点の統合</w:t>
      </w:r>
    </w:p>
    <w:p w14:paraId="51DD80B2" w14:textId="3FD2726B" w:rsidR="00BA28E1" w:rsidRDefault="00000000">
      <w:pPr>
        <w:pStyle w:val="a4"/>
        <w:numPr>
          <w:ilvl w:val="0"/>
          <w:numId w:val="2"/>
        </w:numPr>
        <w:spacing w:after="60" w:line="300" w:lineRule="auto"/>
      </w:pPr>
      <w:r>
        <w:t>調査研究の設計において、性別・ジェンダーによる差異の分析(ジェンダー次元)を検討事項として組み込む。特に、障害とジェンダーの交差(女性ろう者・女性視覚障害者・女性盲ろう者等の情報アクセスにおける複合的障壁)を当機構の研究領域固有のジェンダー課題として扱う</w:t>
      </w:r>
    </w:p>
    <w:p w14:paraId="399F157D" w14:textId="77777777" w:rsidR="00BA28E1" w:rsidRDefault="00000000">
      <w:pPr>
        <w:pStyle w:val="a4"/>
        <w:numPr>
          <w:ilvl w:val="0"/>
          <w:numId w:val="2"/>
        </w:numPr>
        <w:spacing w:after="60" w:line="300" w:lineRule="auto"/>
      </w:pPr>
      <w:r>
        <w:t>当機構が設置する専門委員会・当事者参加の枠組みにおいて、性別の均衡ある参画に配慮する</w:t>
      </w:r>
    </w:p>
    <w:p w14:paraId="27083AAC" w14:textId="77777777" w:rsidR="00BA28E1" w:rsidRDefault="00000000">
      <w:pPr>
        <w:pStyle w:val="2"/>
        <w:spacing w:before="180" w:after="80"/>
      </w:pPr>
      <w:r>
        <w:rPr>
          <w:rFonts w:ascii="游ゴシック" w:eastAsia="游ゴシック" w:hAnsi="游ゴシック" w:cs="游ゴシック"/>
          <w:b/>
          <w:bCs/>
          <w:color w:val="000000"/>
          <w:sz w:val="22"/>
          <w:szCs w:val="22"/>
        </w:rPr>
        <w:t>(5)　ジェンダーに基づく暴力・ハラスメントの防止</w:t>
      </w:r>
    </w:p>
    <w:p w14:paraId="01BF9F4C" w14:textId="77777777" w:rsidR="00BA28E1" w:rsidRDefault="00000000">
      <w:pPr>
        <w:pStyle w:val="a4"/>
        <w:numPr>
          <w:ilvl w:val="0"/>
          <w:numId w:val="2"/>
        </w:numPr>
        <w:spacing w:after="60" w:line="300" w:lineRule="auto"/>
      </w:pPr>
      <w:r>
        <w:t>セクシュアル・ハラスメントを含むジェンダーに基づく暴力・ハラスメントを一切容認しない</w:t>
      </w:r>
    </w:p>
    <w:p w14:paraId="2F4ECCAD" w14:textId="77777777" w:rsidR="00BA28E1" w:rsidRDefault="00000000">
      <w:pPr>
        <w:pStyle w:val="a4"/>
        <w:numPr>
          <w:ilvl w:val="0"/>
          <w:numId w:val="2"/>
        </w:numPr>
        <w:spacing w:after="60" w:line="300" w:lineRule="auto"/>
      </w:pPr>
      <w:r>
        <w:lastRenderedPageBreak/>
        <w:t>相談窓口(総務主任及び理事長。相談者が希望する場合は同性の役職員)を設け、相談者の保護と秘密保持を徹底する</w:t>
      </w:r>
    </w:p>
    <w:p w14:paraId="7D0EC6D0" w14:textId="77777777" w:rsidR="00BA28E1" w:rsidRDefault="00000000">
      <w:pPr>
        <w:pStyle w:val="1"/>
        <w:spacing w:before="240" w:after="110"/>
      </w:pPr>
      <w:r>
        <w:rPr>
          <w:rFonts w:ascii="游ゴシック" w:eastAsia="游ゴシック" w:hAnsi="游ゴシック" w:cs="游ゴシック"/>
          <w:b/>
          <w:bCs/>
          <w:color w:val="000000"/>
          <w:sz w:val="24"/>
          <w:szCs w:val="24"/>
        </w:rPr>
        <w:t>6　実施期間と改定</w:t>
      </w:r>
    </w:p>
    <w:p w14:paraId="3AEE12B9" w14:textId="77777777" w:rsidR="00BA28E1" w:rsidRDefault="00000000">
      <w:pPr>
        <w:spacing w:after="90" w:line="310" w:lineRule="auto"/>
        <w:jc w:val="both"/>
      </w:pPr>
      <w:r>
        <w:t>本計画の実施期間は2026年から2029年まで(次世代法行動計画の計画期間と整合)とし、年次報告に基づき必要な改定を行う。改定は理事会の決議による。</w:t>
      </w:r>
    </w:p>
    <w:p w14:paraId="5A51121B" w14:textId="77777777" w:rsidR="00BA28E1" w:rsidRDefault="00BA28E1">
      <w:pPr>
        <w:spacing w:after="80" w:line="310" w:lineRule="auto"/>
        <w:jc w:val="both"/>
      </w:pPr>
    </w:p>
    <w:p w14:paraId="733079E9" w14:textId="3EE7A8F6" w:rsidR="00BA28E1" w:rsidRDefault="00000000">
      <w:pPr>
        <w:spacing w:after="40" w:line="310" w:lineRule="auto"/>
        <w:jc w:val="both"/>
      </w:pPr>
      <w:r>
        <w:t>【理事会決議日】</w:t>
      </w:r>
      <w:r w:rsidR="00E06340">
        <w:rPr>
          <w:rFonts w:hint="eastAsia"/>
        </w:rPr>
        <w:t xml:space="preserve">　2026年9月　日</w:t>
      </w:r>
    </w:p>
    <w:p w14:paraId="25C1D343" w14:textId="77777777" w:rsidR="00BA28E1" w:rsidRDefault="00000000">
      <w:pPr>
        <w:spacing w:after="40" w:line="310" w:lineRule="auto"/>
        <w:jc w:val="right"/>
      </w:pPr>
      <w:r>
        <w:rPr>
          <w:rFonts w:ascii="游ゴシック" w:eastAsia="游ゴシック" w:hAnsi="游ゴシック" w:cs="游ゴシック"/>
          <w:b/>
          <w:bCs/>
          <w:sz w:val="22"/>
          <w:szCs w:val="22"/>
        </w:rPr>
        <w:t>特定非営利活動法人 支援技術開発機構</w:t>
      </w:r>
    </w:p>
    <w:p w14:paraId="17D26F4F" w14:textId="77777777" w:rsidR="00BA28E1" w:rsidRDefault="00000000">
      <w:pPr>
        <w:spacing w:after="40" w:line="310" w:lineRule="auto"/>
        <w:jc w:val="right"/>
      </w:pPr>
      <w:r>
        <w:rPr>
          <w:sz w:val="22"/>
          <w:szCs w:val="22"/>
        </w:rPr>
        <w:t>理事長　山内　繁　(署名)</w:t>
      </w:r>
    </w:p>
    <w:p w14:paraId="7F04E57D" w14:textId="18C251A5" w:rsidR="00BA28E1" w:rsidRDefault="00BA28E1"/>
    <w:sectPr w:rsidR="00BA28E1">
      <w:footerReference w:type="default" r:id="rId7"/>
      <w:pgSz w:w="11906" w:h="16838"/>
      <w:pgMar w:top="1250" w:right="1300" w:bottom="125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C374B" w14:textId="77777777" w:rsidR="00E96B24" w:rsidRDefault="00E96B24">
      <w:r>
        <w:separator/>
      </w:r>
    </w:p>
  </w:endnote>
  <w:endnote w:type="continuationSeparator" w:id="0">
    <w:p w14:paraId="5121B337" w14:textId="77777777" w:rsidR="00E96B24" w:rsidRDefault="00E96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4CF35" w14:textId="77777777" w:rsidR="00BA28E1" w:rsidRDefault="00000000">
    <w:pPr>
      <w:jc w:val="center"/>
    </w:pPr>
    <w:r>
      <w:rPr>
        <w:sz w:val="18"/>
        <w:szCs w:val="18"/>
      </w:rPr>
      <w:fldChar w:fldCharType="begin"/>
    </w:r>
    <w:r>
      <w:rPr>
        <w:sz w:val="18"/>
        <w:szCs w:val="18"/>
      </w:rPr>
      <w:instrText>PAGE</w:instrText>
    </w:r>
    <w:r>
      <w:rPr>
        <w:sz w:val="18"/>
        <w:szCs w:val="18"/>
      </w:rPr>
      <w:fldChar w:fldCharType="separate"/>
    </w:r>
    <w:r w:rsidR="003A6470">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DEA19" w14:textId="77777777" w:rsidR="00E96B24" w:rsidRDefault="00E96B24">
      <w:r>
        <w:separator/>
      </w:r>
    </w:p>
  </w:footnote>
  <w:footnote w:type="continuationSeparator" w:id="0">
    <w:p w14:paraId="76B4BCD2" w14:textId="77777777" w:rsidR="00E96B24" w:rsidRDefault="00E96B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33420"/>
    <w:multiLevelType w:val="hybridMultilevel"/>
    <w:tmpl w:val="C12AFE88"/>
    <w:lvl w:ilvl="0" w:tplc="390028A6">
      <w:start w:val="1"/>
      <w:numFmt w:val="bullet"/>
      <w:lvlText w:val="・"/>
      <w:lvlJc w:val="left"/>
      <w:pPr>
        <w:ind w:left="440" w:hanging="220"/>
      </w:pPr>
    </w:lvl>
    <w:lvl w:ilvl="1" w:tplc="E8FA6B62">
      <w:numFmt w:val="decimal"/>
      <w:lvlText w:val=""/>
      <w:lvlJc w:val="left"/>
    </w:lvl>
    <w:lvl w:ilvl="2" w:tplc="0D68A838">
      <w:numFmt w:val="decimal"/>
      <w:lvlText w:val=""/>
      <w:lvlJc w:val="left"/>
    </w:lvl>
    <w:lvl w:ilvl="3" w:tplc="EBBE6746">
      <w:numFmt w:val="decimal"/>
      <w:lvlText w:val=""/>
      <w:lvlJc w:val="left"/>
    </w:lvl>
    <w:lvl w:ilvl="4" w:tplc="83BE7662">
      <w:numFmt w:val="decimal"/>
      <w:lvlText w:val=""/>
      <w:lvlJc w:val="left"/>
    </w:lvl>
    <w:lvl w:ilvl="5" w:tplc="FDD6C6F8">
      <w:numFmt w:val="decimal"/>
      <w:lvlText w:val=""/>
      <w:lvlJc w:val="left"/>
    </w:lvl>
    <w:lvl w:ilvl="6" w:tplc="B61AA6D0">
      <w:numFmt w:val="decimal"/>
      <w:lvlText w:val=""/>
      <w:lvlJc w:val="left"/>
    </w:lvl>
    <w:lvl w:ilvl="7" w:tplc="1C60135E">
      <w:numFmt w:val="decimal"/>
      <w:lvlText w:val=""/>
      <w:lvlJc w:val="left"/>
    </w:lvl>
    <w:lvl w:ilvl="8" w:tplc="4FFCE2AE">
      <w:numFmt w:val="decimal"/>
      <w:lvlText w:val=""/>
      <w:lvlJc w:val="left"/>
    </w:lvl>
  </w:abstractNum>
  <w:abstractNum w:abstractNumId="1" w15:restartNumberingAfterBreak="0">
    <w:nsid w:val="39900630"/>
    <w:multiLevelType w:val="hybridMultilevel"/>
    <w:tmpl w:val="FA8453FC"/>
    <w:lvl w:ilvl="0" w:tplc="539C074E">
      <w:start w:val="1"/>
      <w:numFmt w:val="bullet"/>
      <w:lvlText w:val="●"/>
      <w:lvlJc w:val="left"/>
      <w:pPr>
        <w:ind w:left="720" w:hanging="360"/>
      </w:pPr>
    </w:lvl>
    <w:lvl w:ilvl="1" w:tplc="AE22E886">
      <w:start w:val="1"/>
      <w:numFmt w:val="bullet"/>
      <w:lvlText w:val="○"/>
      <w:lvlJc w:val="left"/>
      <w:pPr>
        <w:ind w:left="1440" w:hanging="360"/>
      </w:pPr>
    </w:lvl>
    <w:lvl w:ilvl="2" w:tplc="FAA6786A">
      <w:start w:val="1"/>
      <w:numFmt w:val="bullet"/>
      <w:lvlText w:val="■"/>
      <w:lvlJc w:val="left"/>
      <w:pPr>
        <w:ind w:left="2160" w:hanging="360"/>
      </w:pPr>
    </w:lvl>
    <w:lvl w:ilvl="3" w:tplc="11B82858">
      <w:start w:val="1"/>
      <w:numFmt w:val="bullet"/>
      <w:lvlText w:val="●"/>
      <w:lvlJc w:val="left"/>
      <w:pPr>
        <w:ind w:left="2880" w:hanging="360"/>
      </w:pPr>
    </w:lvl>
    <w:lvl w:ilvl="4" w:tplc="097C2170">
      <w:start w:val="1"/>
      <w:numFmt w:val="bullet"/>
      <w:lvlText w:val="○"/>
      <w:lvlJc w:val="left"/>
      <w:pPr>
        <w:ind w:left="3600" w:hanging="360"/>
      </w:pPr>
    </w:lvl>
    <w:lvl w:ilvl="5" w:tplc="1ECCDA24">
      <w:start w:val="1"/>
      <w:numFmt w:val="bullet"/>
      <w:lvlText w:val="■"/>
      <w:lvlJc w:val="left"/>
      <w:pPr>
        <w:ind w:left="4320" w:hanging="360"/>
      </w:pPr>
    </w:lvl>
    <w:lvl w:ilvl="6" w:tplc="1542FBE0">
      <w:start w:val="1"/>
      <w:numFmt w:val="bullet"/>
      <w:lvlText w:val="●"/>
      <w:lvlJc w:val="left"/>
      <w:pPr>
        <w:ind w:left="5040" w:hanging="360"/>
      </w:pPr>
    </w:lvl>
    <w:lvl w:ilvl="7" w:tplc="5FC8DEEC">
      <w:start w:val="1"/>
      <w:numFmt w:val="bullet"/>
      <w:lvlText w:val="●"/>
      <w:lvlJc w:val="left"/>
      <w:pPr>
        <w:ind w:left="5760" w:hanging="360"/>
      </w:pPr>
    </w:lvl>
    <w:lvl w:ilvl="8" w:tplc="9C1A0E62">
      <w:start w:val="1"/>
      <w:numFmt w:val="bullet"/>
      <w:lvlText w:val="●"/>
      <w:lvlJc w:val="left"/>
      <w:pPr>
        <w:ind w:left="6480" w:hanging="360"/>
      </w:pPr>
    </w:lvl>
  </w:abstractNum>
  <w:num w:numId="1" w16cid:durableId="1896770871">
    <w:abstractNumId w:val="1"/>
    <w:lvlOverride w:ilvl="0">
      <w:startOverride w:val="1"/>
    </w:lvlOverride>
  </w:num>
  <w:num w:numId="2" w16cid:durableId="8040092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8E1"/>
    <w:rsid w:val="003A6470"/>
    <w:rsid w:val="003C1C62"/>
    <w:rsid w:val="007344A9"/>
    <w:rsid w:val="00812E27"/>
    <w:rsid w:val="00B36E74"/>
    <w:rsid w:val="00BA28E1"/>
    <w:rsid w:val="00D375E0"/>
    <w:rsid w:val="00E06340"/>
    <w:rsid w:val="00E96B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CE33DC1"/>
  <w15:docId w15:val="{DC332A7A-B250-48F4-9484-DB6D939E8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306</Words>
  <Characters>1745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Mayu Makio</cp:lastModifiedBy>
  <cp:revision>2</cp:revision>
  <dcterms:created xsi:type="dcterms:W3CDTF">2026-09-18T09:40:00Z</dcterms:created>
  <dcterms:modified xsi:type="dcterms:W3CDTF">2026-09-18T09:40:00Z</dcterms:modified>
</cp:coreProperties>
</file>